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DF0A82">
      <w:pPr>
        <w:jc w:val="center"/>
        <w:rPr>
          <w:rFonts w:hint="default"/>
          <w:b/>
          <w:bCs/>
          <w:sz w:val="44"/>
          <w:szCs w:val="44"/>
          <w:lang w:val="en-US" w:eastAsia="zh-CN"/>
        </w:rPr>
      </w:pPr>
      <w:r>
        <w:rPr>
          <w:rFonts w:hint="eastAsia"/>
          <w:b/>
          <w:bCs/>
          <w:sz w:val="44"/>
          <w:szCs w:val="44"/>
          <w:lang w:val="en-US" w:eastAsia="zh-CN"/>
        </w:rPr>
        <w:t>仪器设备开放共享使用教程</w:t>
      </w:r>
      <w:bookmarkStart w:id="0" w:name="_GoBack"/>
      <w:bookmarkEnd w:id="0"/>
      <w:r>
        <w:rPr>
          <w:rFonts w:hint="eastAsia"/>
          <w:b/>
          <w:bCs/>
          <w:sz w:val="44"/>
          <w:szCs w:val="44"/>
          <w:lang w:val="en-US" w:eastAsia="zh-CN"/>
        </w:rPr>
        <w:t>-设备管理员</w:t>
      </w:r>
    </w:p>
    <w:p w14:paraId="04679AAE">
      <w:pPr>
        <w:rPr>
          <w:rFonts w:hint="eastAsia"/>
          <w:lang w:val="en-US" w:eastAsia="zh-CN"/>
        </w:rPr>
      </w:pPr>
    </w:p>
    <w:p w14:paraId="0A497540">
      <w:pPr>
        <w:rPr>
          <w:rFonts w:hint="eastAsia"/>
          <w:lang w:val="en-US" w:eastAsia="zh-CN"/>
        </w:rPr>
      </w:pPr>
    </w:p>
    <w:p w14:paraId="5F384283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针对人群：设备管理员（仪器负责人），主要阐述设备管理员常用功能操作说明。</w:t>
      </w:r>
    </w:p>
    <w:p w14:paraId="2EA1AFE7">
      <w:pPr>
        <w:rPr>
          <w:rFonts w:hint="eastAsia"/>
          <w:lang w:val="en-US" w:eastAsia="zh-CN"/>
        </w:rPr>
      </w:pPr>
    </w:p>
    <w:p w14:paraId="54250403">
      <w:pPr>
        <w:numPr>
          <w:ilvl w:val="0"/>
          <w:numId w:val="0"/>
        </w:numPr>
        <w:outlineLvl w:val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1、仪器管理功能入口</w:t>
      </w:r>
    </w:p>
    <w:p w14:paraId="35DC2A24"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教师中心</w:t>
      </w:r>
    </w:p>
    <w:p w14:paraId="776E444B">
      <w:r>
        <w:drawing>
          <wp:inline distT="0" distB="0" distL="114300" distR="114300">
            <wp:extent cx="5266690" cy="2583815"/>
            <wp:effectExtent l="9525" t="9525" r="19685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gradFill>
                        <a:gsLst>
                          <a:gs pos="0">
                            <a:schemeClr val="accent1">
                              <a:lumMod val="5000"/>
                              <a:lumOff val="95000"/>
                            </a:schemeClr>
                          </a:gs>
                          <a:gs pos="74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83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100000">
                            <a:schemeClr val="accent1">
                              <a:lumMod val="30000"/>
                              <a:lumOff val="70000"/>
                            </a:schemeClr>
                          </a:gs>
                        </a:gsLst>
                        <a:lin ang="5400000" scaled="1"/>
                      </a:gradFill>
                    </a:ln>
                  </pic:spPr>
                </pic:pic>
              </a:graphicData>
            </a:graphic>
          </wp:inline>
        </w:drawing>
      </w:r>
    </w:p>
    <w:p w14:paraId="2098DFBA">
      <w:pPr>
        <w:numPr>
          <w:ilvl w:val="0"/>
          <w:numId w:val="0"/>
        </w:numPr>
        <w:outlineLvl w:val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2、功能区域说明</w:t>
      </w:r>
    </w:p>
    <w:p w14:paraId="05627F18">
      <w:pPr>
        <w:numPr>
          <w:ilvl w:val="0"/>
          <w:numId w:val="0"/>
        </w:numPr>
        <w:outlineLvl w:val="1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2.1、首页：展示当前时间段内，权限范围内所有仪器的预约情况；</w:t>
      </w:r>
    </w:p>
    <w:p w14:paraId="0E21568D">
      <w:pPr>
        <w:numPr>
          <w:ilvl w:val="0"/>
          <w:numId w:val="0"/>
        </w:numPr>
        <w:outlineLvl w:val="1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2.2、“查看我的仪器”（右上角），进入管理区域；</w:t>
      </w:r>
    </w:p>
    <w:p w14:paraId="75180222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583815"/>
            <wp:effectExtent l="9525" t="9525" r="19685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gradFill>
                        <a:gsLst>
                          <a:gs pos="0">
                            <a:schemeClr val="accent1">
                              <a:lumMod val="5000"/>
                              <a:lumOff val="95000"/>
                            </a:schemeClr>
                          </a:gs>
                          <a:gs pos="74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83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100000">
                            <a:schemeClr val="accent1">
                              <a:lumMod val="30000"/>
                              <a:lumOff val="70000"/>
                            </a:schemeClr>
                          </a:gs>
                        </a:gsLst>
                        <a:lin ang="5400000" scaled="1"/>
                      </a:gradFill>
                    </a:ln>
                  </pic:spPr>
                </pic:pic>
              </a:graphicData>
            </a:graphic>
          </wp:inline>
        </w:drawing>
      </w:r>
    </w:p>
    <w:p w14:paraId="151C6F58">
      <w:pPr>
        <w:outlineLvl w:val="1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2.3、管理区域</w:t>
      </w:r>
    </w:p>
    <w:p w14:paraId="015E5867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每台仪器都需要单独设置，不支持批量操作；</w:t>
      </w:r>
    </w:p>
    <w:p w14:paraId="113DCC3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左侧：仪器列表</w:t>
      </w:r>
    </w:p>
    <w:p w14:paraId="0214443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右侧：仪器的相关功能（不可更改，即代表没有权限）</w:t>
      </w:r>
    </w:p>
    <w:p w14:paraId="2B6C77D5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583815"/>
            <wp:effectExtent l="9525" t="9525" r="19685" b="1016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gradFill>
                        <a:gsLst>
                          <a:gs pos="0">
                            <a:schemeClr val="accent1">
                              <a:lumMod val="5000"/>
                              <a:lumOff val="95000"/>
                            </a:schemeClr>
                          </a:gs>
                          <a:gs pos="74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83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100000">
                            <a:schemeClr val="accent1">
                              <a:lumMod val="30000"/>
                              <a:lumOff val="70000"/>
                            </a:schemeClr>
                          </a:gs>
                        </a:gsLst>
                        <a:lin ang="5400000" scaled="1"/>
                      </a:gradFill>
                    </a:ln>
                  </pic:spPr>
                </pic:pic>
              </a:graphicData>
            </a:graphic>
          </wp:inline>
        </w:drawing>
      </w:r>
    </w:p>
    <w:p w14:paraId="6224E1C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①、仪器身份牌：基础信息为同步资产系统，不可修改（个人中心无权限，需要管理员去后台调整），仅可修改主要性能技术指标、送样要求、主要功能和服务范围；下方显示的是仪器的常用数据统计；</w:t>
      </w:r>
    </w:p>
    <w:p w14:paraId="522215C0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83815"/>
            <wp:effectExtent l="9525" t="9525" r="19685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gradFill>
                        <a:gsLst>
                          <a:gs pos="0">
                            <a:schemeClr val="accent1">
                              <a:lumMod val="5000"/>
                              <a:lumOff val="95000"/>
                            </a:schemeClr>
                          </a:gs>
                          <a:gs pos="74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83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100000">
                            <a:schemeClr val="accent1">
                              <a:lumMod val="30000"/>
                              <a:lumOff val="70000"/>
                            </a:schemeClr>
                          </a:gs>
                        </a:gsLst>
                        <a:lin ang="5400000" scaled="1"/>
                      </a:gradFill>
                    </a:ln>
                  </pic:spPr>
                </pic:pic>
              </a:graphicData>
            </a:graphic>
          </wp:inline>
        </w:drawing>
      </w:r>
    </w:p>
    <w:p w14:paraId="52F1000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②、开放时段：</w:t>
      </w:r>
    </w:p>
    <w:p w14:paraId="54B349BC"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开放状态：共享、维修、调试，只有“共享”的时候，才是正常开放仪器的共享业务，用户可预约；</w:t>
      </w:r>
    </w:p>
    <w:p w14:paraId="162B0937">
      <w:pPr>
        <w:ind w:firstLine="42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预约用户，账户余额不低于</w:t>
      </w:r>
      <w:r>
        <w:rPr>
          <w:rFonts w:hint="eastAsia"/>
          <w:lang w:val="en-US" w:eastAsia="zh-CN"/>
        </w:rPr>
        <w:t>：必须设置，否则“开放状态”无法“共享”；</w:t>
      </w:r>
    </w:p>
    <w:p w14:paraId="25326C10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开放时间段设置：默认系统全局设置（管理员可后台修改），可根据具体情况进行自定义设置，切换到“自定义”即可个性化设置，仅对当前仪器有效；</w:t>
      </w:r>
    </w:p>
    <w:p w14:paraId="1DB4928F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重要提醒：修改完毕要点“保存”，不“保存”，设置无效；</w:t>
      </w:r>
    </w:p>
    <w:p w14:paraId="6BB5B6B4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83815"/>
            <wp:effectExtent l="9525" t="9525" r="19685" b="1016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gradFill>
                        <a:gsLst>
                          <a:gs pos="0">
                            <a:schemeClr val="accent1">
                              <a:lumMod val="5000"/>
                              <a:lumOff val="95000"/>
                            </a:schemeClr>
                          </a:gs>
                          <a:gs pos="74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83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100000">
                            <a:schemeClr val="accent1">
                              <a:lumMod val="30000"/>
                              <a:lumOff val="70000"/>
                            </a:schemeClr>
                          </a:gs>
                        </a:gsLst>
                        <a:lin ang="5400000" scaled="1"/>
                      </a:gradFill>
                    </a:ln>
                  </pic:spPr>
                </pic:pic>
              </a:graphicData>
            </a:graphic>
          </wp:inline>
        </w:drawing>
      </w:r>
    </w:p>
    <w:p w14:paraId="4F8C3A9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③、共享设置：共享范围和费用设置，必须设置；</w:t>
      </w:r>
    </w:p>
    <w:p w14:paraId="7DF708F4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83815"/>
            <wp:effectExtent l="9525" t="9525" r="19685" b="1016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gradFill>
                        <a:gsLst>
                          <a:gs pos="0">
                            <a:schemeClr val="accent1">
                              <a:lumMod val="5000"/>
                              <a:lumOff val="95000"/>
                            </a:schemeClr>
                          </a:gs>
                          <a:gs pos="74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83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100000">
                            <a:schemeClr val="accent1">
                              <a:lumMod val="30000"/>
                              <a:lumOff val="70000"/>
                            </a:schemeClr>
                          </a:gs>
                        </a:gsLst>
                        <a:lin ang="5400000" scaled="1"/>
                      </a:gradFill>
                    </a:ln>
                  </pic:spPr>
                </pic:pic>
              </a:graphicData>
            </a:graphic>
          </wp:inline>
        </w:drawing>
      </w:r>
    </w:p>
    <w:p w14:paraId="45AB7A6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④、高级设置：默认系统全局设置（管理员可后台修改），可根据具体情况进行自定义设置，切换到“自定义”即可个性化设置，仅对当前仪器有效；</w:t>
      </w:r>
    </w:p>
    <w:p w14:paraId="29BCA34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83815"/>
            <wp:effectExtent l="9525" t="9525" r="19685" b="1016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gradFill>
                        <a:gsLst>
                          <a:gs pos="0">
                            <a:schemeClr val="accent1">
                              <a:lumMod val="5000"/>
                              <a:lumOff val="95000"/>
                            </a:schemeClr>
                          </a:gs>
                          <a:gs pos="74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83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100000">
                            <a:schemeClr val="accent1">
                              <a:lumMod val="30000"/>
                              <a:lumOff val="70000"/>
                            </a:schemeClr>
                          </a:gs>
                        </a:gsLst>
                        <a:lin ang="5400000" scaled="1"/>
                      </a:gradFill>
                    </a:ln>
                  </pic:spPr>
                </pic:pic>
              </a:graphicData>
            </a:graphic>
          </wp:inline>
        </w:drawing>
      </w:r>
    </w:p>
    <w:p w14:paraId="13F9973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⑤、预约名录：显示所有已预约过的人（包含所有师生）；可在此处给学生的“信誉分”做“扣分”操作；</w:t>
      </w:r>
    </w:p>
    <w:p w14:paraId="2EED11F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83815"/>
            <wp:effectExtent l="9525" t="9525" r="19685" b="1016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gradFill>
                        <a:gsLst>
                          <a:gs pos="0">
                            <a:schemeClr val="accent1">
                              <a:lumMod val="5000"/>
                              <a:lumOff val="95000"/>
                            </a:schemeClr>
                          </a:gs>
                          <a:gs pos="74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83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100000">
                            <a:schemeClr val="accent1">
                              <a:lumMod val="30000"/>
                              <a:lumOff val="70000"/>
                            </a:schemeClr>
                          </a:gs>
                        </a:gsLst>
                        <a:lin ang="5400000" scaled="1"/>
                      </a:gradFill>
                    </a:ln>
                  </pic:spPr>
                </pic:pic>
              </a:graphicData>
            </a:graphic>
          </wp:inline>
        </w:drawing>
      </w:r>
    </w:p>
    <w:p w14:paraId="7014AEC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⑥、预约记录：显示所有预约记录；可根据学生的预约对该学生“信誉分”做“扣分”操作；</w:t>
      </w:r>
      <w:r>
        <w:drawing>
          <wp:inline distT="0" distB="0" distL="114300" distR="114300">
            <wp:extent cx="5266690" cy="2583815"/>
            <wp:effectExtent l="9525" t="9525" r="19685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gradFill>
                        <a:gsLst>
                          <a:gs pos="0">
                            <a:schemeClr val="accent1">
                              <a:lumMod val="5000"/>
                              <a:lumOff val="95000"/>
                            </a:schemeClr>
                          </a:gs>
                          <a:gs pos="74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83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100000">
                            <a:schemeClr val="accent1">
                              <a:lumMod val="30000"/>
                              <a:lumOff val="70000"/>
                            </a:schemeClr>
                          </a:gs>
                        </a:gsLst>
                        <a:lin ang="5400000" scaled="1"/>
                      </a:gradFill>
                    </a:ln>
                  </pic:spPr>
                </pic:pic>
              </a:graphicData>
            </a:graphic>
          </wp:inline>
        </w:drawing>
      </w:r>
    </w:p>
    <w:p w14:paraId="3EBA54F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⑦、委托记录：显示所有委托记录；可根据学生的预约对该学生“信誉分”做“扣分”操作；</w:t>
      </w:r>
    </w:p>
    <w:p w14:paraId="46E5E9E3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83815"/>
            <wp:effectExtent l="9525" t="9525" r="19685" b="1016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gradFill>
                        <a:gsLst>
                          <a:gs pos="0">
                            <a:schemeClr val="accent1">
                              <a:lumMod val="5000"/>
                              <a:lumOff val="95000"/>
                            </a:schemeClr>
                          </a:gs>
                          <a:gs pos="74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83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100000">
                            <a:schemeClr val="accent1">
                              <a:lumMod val="30000"/>
                              <a:lumOff val="70000"/>
                            </a:schemeClr>
                          </a:gs>
                        </a:gsLst>
                        <a:lin ang="5400000" scaled="1"/>
                      </a:gradFill>
                    </a:ln>
                  </pic:spPr>
                </pic:pic>
              </a:graphicData>
            </a:graphic>
          </wp:inline>
        </w:drawing>
      </w:r>
    </w:p>
    <w:p w14:paraId="08C16A32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⑧、操作视频：可在此处关联仪器相关的视频，该功能用于在门牌上展示仪器的相关视频；</w:t>
      </w:r>
    </w:p>
    <w:p w14:paraId="2908633E">
      <w:r>
        <w:drawing>
          <wp:inline distT="0" distB="0" distL="114300" distR="114300">
            <wp:extent cx="5266690" cy="2583815"/>
            <wp:effectExtent l="9525" t="9525" r="19685" b="1016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gradFill>
                        <a:gsLst>
                          <a:gs pos="0">
                            <a:schemeClr val="accent1">
                              <a:lumMod val="5000"/>
                              <a:lumOff val="95000"/>
                            </a:schemeClr>
                          </a:gs>
                          <a:gs pos="74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83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100000">
                            <a:schemeClr val="accent1">
                              <a:lumMod val="30000"/>
                              <a:lumOff val="70000"/>
                            </a:schemeClr>
                          </a:gs>
                        </a:gsLst>
                        <a:lin ang="5400000" scaled="1"/>
                      </a:gradFill>
                    </a:ln>
                  </pic:spPr>
                </pic:pic>
              </a:graphicData>
            </a:graphic>
          </wp:inline>
        </w:drawing>
      </w:r>
    </w:p>
    <w:p w14:paraId="3AA7762A"/>
    <w:p w14:paraId="109141D2">
      <w:pPr>
        <w:numPr>
          <w:ilvl w:val="0"/>
          <w:numId w:val="0"/>
        </w:numPr>
        <w:outlineLvl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3、仪器预约流程中相关参与工作</w:t>
      </w:r>
    </w:p>
    <w:p w14:paraId="4A59D238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主要工作：</w:t>
      </w:r>
    </w:p>
    <w:p w14:paraId="6BC2116D"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①、审核</w:t>
      </w:r>
    </w:p>
    <w:p w14:paraId="76E3D2EA">
      <w:pPr>
        <w:numPr>
          <w:ilvl w:val="0"/>
          <w:numId w:val="0"/>
        </w:num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②、结算</w:t>
      </w:r>
    </w:p>
    <w:p w14:paraId="3359D05E">
      <w:pPr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3.1、审核</w:t>
      </w:r>
    </w:p>
    <w:p w14:paraId="6D42462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说明：当有人预约您负责的仪器时，需要您审核之后，预约者才能正常完成预约事宜；</w:t>
      </w:r>
    </w:p>
    <w:p w14:paraId="23F991D4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不同业务线，在不同业务标签内，会有“数字”提醒待办；</w:t>
      </w:r>
    </w:p>
    <w:p w14:paraId="402F752A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583815"/>
            <wp:effectExtent l="9525" t="9525" r="19685" b="1016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gradFill>
                        <a:gsLst>
                          <a:gs pos="0">
                            <a:schemeClr val="accent1">
                              <a:lumMod val="5000"/>
                              <a:lumOff val="95000"/>
                            </a:schemeClr>
                          </a:gs>
                          <a:gs pos="74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83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100000">
                            <a:schemeClr val="accent1">
                              <a:lumMod val="30000"/>
                              <a:lumOff val="70000"/>
                            </a:schemeClr>
                          </a:gs>
                        </a:gsLst>
                        <a:lin ang="5400000" scaled="1"/>
                      </a:gradFill>
                    </a:ln>
                  </pic:spPr>
                </pic:pic>
              </a:graphicData>
            </a:graphic>
          </wp:inline>
        </w:drawing>
      </w:r>
    </w:p>
    <w:p w14:paraId="0AB64C7F">
      <w:pPr>
        <w:rPr>
          <w:rFonts w:hint="default"/>
          <w:lang w:val="en-US" w:eastAsia="zh-CN"/>
        </w:rPr>
      </w:pPr>
    </w:p>
    <w:p w14:paraId="07D963FE">
      <w:pPr>
        <w:outlineLvl w:val="1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3.2、结算</w:t>
      </w:r>
    </w:p>
    <w:p w14:paraId="169DB410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说明：预约使用结束后，只有在“账单管理”中做“结算”才算是完成整个业务流程；只有结算了才会从相关账户“扣费”！</w:t>
      </w:r>
    </w:p>
    <w:p w14:paraId="2EC102F2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不同业务线，在不同业务标签内，会有“数字”提醒待办；页面上默认显示“待结算”数据，查看其他数据可修改“状态”查询；</w:t>
      </w:r>
    </w:p>
    <w:p w14:paraId="4092C8A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操作：</w:t>
      </w:r>
    </w:p>
    <w:p w14:paraId="2C8BB05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默认：结算、关闭结算（不需要结算的可以直接关闭）</w:t>
      </w:r>
    </w:p>
    <w:p w14:paraId="3D60D38F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已结算：修改结算、生成账单、预览</w:t>
      </w:r>
    </w:p>
    <w:p w14:paraId="66D1AED9">
      <w:r>
        <w:drawing>
          <wp:inline distT="0" distB="0" distL="114300" distR="114300">
            <wp:extent cx="5266690" cy="2583815"/>
            <wp:effectExtent l="9525" t="9525" r="19685" b="1016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gradFill>
                        <a:gsLst>
                          <a:gs pos="0">
                            <a:schemeClr val="accent1">
                              <a:lumMod val="5000"/>
                              <a:lumOff val="95000"/>
                            </a:schemeClr>
                          </a:gs>
                          <a:gs pos="74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83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100000">
                            <a:schemeClr val="accent1">
                              <a:lumMod val="30000"/>
                              <a:lumOff val="70000"/>
                            </a:schemeClr>
                          </a:gs>
                        </a:gsLst>
                        <a:lin ang="5400000" scaled="1"/>
                      </a:gradFill>
                    </a:ln>
                  </pic:spPr>
                </pic:pic>
              </a:graphicData>
            </a:graphic>
          </wp:inline>
        </w:drawing>
      </w:r>
    </w:p>
    <w:p w14:paraId="778FF7A9"/>
    <w:p w14:paraId="425DA2DC">
      <w:pPr>
        <w:outlineLvl w:val="1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3.3、上传检测报告</w:t>
      </w:r>
    </w:p>
    <w:p w14:paraId="5DC440FD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在结算后，可在“委托记录”中“上传检测报告”，因为要支持各种各样的文件，为了系统安全，此处只支持rar、zip压缩包；</w:t>
      </w:r>
    </w:p>
    <w:p w14:paraId="2E9D495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14295"/>
            <wp:effectExtent l="9525" t="9525" r="19685" b="2413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gradFill>
                        <a:gsLst>
                          <a:gs pos="0">
                            <a:schemeClr val="accent1">
                              <a:lumMod val="5000"/>
                              <a:lumOff val="95000"/>
                            </a:schemeClr>
                          </a:gs>
                          <a:gs pos="74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83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100000">
                            <a:schemeClr val="accent1">
                              <a:lumMod val="30000"/>
                              <a:lumOff val="70000"/>
                            </a:schemeClr>
                          </a:gs>
                        </a:gsLst>
                        <a:lin ang="5400000" scaled="1"/>
                      </a:gradFill>
                    </a:ln>
                  </pic:spPr>
                </pic:pic>
              </a:graphicData>
            </a:graphic>
          </wp:inline>
        </w:drawing>
      </w:r>
    </w:p>
    <w:p w14:paraId="5F76172E"/>
    <w:p w14:paraId="5858A09D">
      <w:pPr>
        <w:outlineLvl w:val="0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特别说明：</w:t>
      </w:r>
    </w:p>
    <w:p w14:paraId="0FDDD062"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关于仪器的使用统计或者相关数据，在“教师中心”仅可查看部分，仪器预约统计需要一定权限在管理后台查看。</w:t>
      </w:r>
    </w:p>
    <w:p w14:paraId="1B1A048C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83815"/>
            <wp:effectExtent l="9525" t="9525" r="19685" b="1651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gradFill>
                        <a:gsLst>
                          <a:gs pos="0">
                            <a:schemeClr val="accent1">
                              <a:lumMod val="5000"/>
                              <a:lumOff val="95000"/>
                            </a:schemeClr>
                          </a:gs>
                          <a:gs pos="74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83000">
                            <a:schemeClr val="accent1">
                              <a:lumMod val="45000"/>
                              <a:lumOff val="55000"/>
                            </a:schemeClr>
                          </a:gs>
                          <a:gs pos="100000">
                            <a:schemeClr val="accent1">
                              <a:lumMod val="30000"/>
                              <a:lumOff val="70000"/>
                            </a:schemeClr>
                          </a:gs>
                        </a:gsLst>
                        <a:lin ang="5400000" scaled="1"/>
                      </a:gradFill>
                    </a:ln>
                  </pic:spPr>
                </pic:pic>
              </a:graphicData>
            </a:graphic>
          </wp:inline>
        </w:drawing>
      </w:r>
    </w:p>
    <w:p w14:paraId="79F43D52"/>
    <w:p w14:paraId="66E203D9"/>
    <w:p w14:paraId="665C4C6E"/>
    <w:p w14:paraId="0354D031">
      <w:pPr>
        <w:rPr>
          <w:rFonts w:hint="default"/>
          <w:lang w:val="en-US" w:eastAsia="zh-CN"/>
        </w:rPr>
      </w:pPr>
    </w:p>
    <w:p w14:paraId="6659B660"/>
    <w:p w14:paraId="26AA893F"/>
    <w:p w14:paraId="30B589DB"/>
    <w:p w14:paraId="05DD3F14"/>
    <w:p w14:paraId="6E6D5A71"/>
    <w:p w14:paraId="03951B3A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756260"/>
    <w:rsid w:val="00BC0211"/>
    <w:rsid w:val="024B1DDD"/>
    <w:rsid w:val="03A67CDF"/>
    <w:rsid w:val="08C4376F"/>
    <w:rsid w:val="0AB452AC"/>
    <w:rsid w:val="0B243354"/>
    <w:rsid w:val="0C6B2195"/>
    <w:rsid w:val="0CEA272D"/>
    <w:rsid w:val="0E2F642E"/>
    <w:rsid w:val="0E4F7DD1"/>
    <w:rsid w:val="0F352EF1"/>
    <w:rsid w:val="0F6414B9"/>
    <w:rsid w:val="0FB93C31"/>
    <w:rsid w:val="117754AE"/>
    <w:rsid w:val="11813C12"/>
    <w:rsid w:val="11AB5B5D"/>
    <w:rsid w:val="11FF6530"/>
    <w:rsid w:val="12AD464F"/>
    <w:rsid w:val="131D0D35"/>
    <w:rsid w:val="14EE6F42"/>
    <w:rsid w:val="158A0897"/>
    <w:rsid w:val="165A0373"/>
    <w:rsid w:val="17623FE3"/>
    <w:rsid w:val="178F00EE"/>
    <w:rsid w:val="183E584F"/>
    <w:rsid w:val="1C63046D"/>
    <w:rsid w:val="2255143A"/>
    <w:rsid w:val="22C741AB"/>
    <w:rsid w:val="22D33725"/>
    <w:rsid w:val="2467382C"/>
    <w:rsid w:val="24E50791"/>
    <w:rsid w:val="26BD4E0A"/>
    <w:rsid w:val="27DD30AA"/>
    <w:rsid w:val="2AC70B0C"/>
    <w:rsid w:val="2AD1510D"/>
    <w:rsid w:val="2E273548"/>
    <w:rsid w:val="2E792D17"/>
    <w:rsid w:val="30E410DD"/>
    <w:rsid w:val="30F07AC2"/>
    <w:rsid w:val="35176CD0"/>
    <w:rsid w:val="362172FF"/>
    <w:rsid w:val="36BC21C2"/>
    <w:rsid w:val="36C56525"/>
    <w:rsid w:val="37053617"/>
    <w:rsid w:val="37401190"/>
    <w:rsid w:val="387A6E99"/>
    <w:rsid w:val="3B186AFE"/>
    <w:rsid w:val="3CEC3FE9"/>
    <w:rsid w:val="3E512684"/>
    <w:rsid w:val="3ECA15C1"/>
    <w:rsid w:val="3F335539"/>
    <w:rsid w:val="3F7E2DD3"/>
    <w:rsid w:val="406D2AB9"/>
    <w:rsid w:val="408F53A7"/>
    <w:rsid w:val="42097CF1"/>
    <w:rsid w:val="424F3958"/>
    <w:rsid w:val="43396AF2"/>
    <w:rsid w:val="44192352"/>
    <w:rsid w:val="45D370B3"/>
    <w:rsid w:val="46EA7F52"/>
    <w:rsid w:val="472C6601"/>
    <w:rsid w:val="47DF12FE"/>
    <w:rsid w:val="495D3271"/>
    <w:rsid w:val="4A832A30"/>
    <w:rsid w:val="504E0E08"/>
    <w:rsid w:val="541B119C"/>
    <w:rsid w:val="547817AF"/>
    <w:rsid w:val="553166DB"/>
    <w:rsid w:val="56177D17"/>
    <w:rsid w:val="57C34DFE"/>
    <w:rsid w:val="585A04AD"/>
    <w:rsid w:val="5BCA4D61"/>
    <w:rsid w:val="5CD8195D"/>
    <w:rsid w:val="5D456667"/>
    <w:rsid w:val="600E70D0"/>
    <w:rsid w:val="60BA41DD"/>
    <w:rsid w:val="625A5BF2"/>
    <w:rsid w:val="629C3ECA"/>
    <w:rsid w:val="63196655"/>
    <w:rsid w:val="64494B07"/>
    <w:rsid w:val="645408F6"/>
    <w:rsid w:val="64B21113"/>
    <w:rsid w:val="65F52408"/>
    <w:rsid w:val="670B10F9"/>
    <w:rsid w:val="69D366CA"/>
    <w:rsid w:val="6A875012"/>
    <w:rsid w:val="6DA54D59"/>
    <w:rsid w:val="6DB670E9"/>
    <w:rsid w:val="6DF128ED"/>
    <w:rsid w:val="711A0D61"/>
    <w:rsid w:val="7131462E"/>
    <w:rsid w:val="71390D6F"/>
    <w:rsid w:val="72EE3263"/>
    <w:rsid w:val="72FD37F2"/>
    <w:rsid w:val="735F50B4"/>
    <w:rsid w:val="741E202E"/>
    <w:rsid w:val="766D4D97"/>
    <w:rsid w:val="779E6920"/>
    <w:rsid w:val="7A1A1FFE"/>
    <w:rsid w:val="7B0C0803"/>
    <w:rsid w:val="7D0B1E15"/>
    <w:rsid w:val="7D867F3A"/>
    <w:rsid w:val="7D870AA7"/>
    <w:rsid w:val="7DBD5EA5"/>
    <w:rsid w:val="7DBE2761"/>
    <w:rsid w:val="7F436873"/>
    <w:rsid w:val="7F5802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1078</Words>
  <Characters>1094</Characters>
  <Lines>0</Lines>
  <Paragraphs>0</Paragraphs>
  <TotalTime>0</TotalTime>
  <ScaleCrop>false</ScaleCrop>
  <LinksUpToDate>false</LinksUpToDate>
  <CharactersWithSpaces>1094</CharactersWithSpaces>
  <Application>WPS Office_12.1.0.24031_F1E327BC-269C-435d-A152-05C5408002CA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2026-04-10T05:35:00Z</dcterms:created>
  <dc:creator>Administrator</dc:creator>
  <cp:lastModifiedBy>郝婷婷</cp:lastModifiedBy>
  <dcterms:modified xsi:type="dcterms:W3CDTF">2026-04-11T07:18:04Z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2052-12.1.0.24031</vt:lpwstr>
  </property>
  <property fmtid="{D5CDD505-2E9C-101B-9397-08002B2CF9AE}" pid="3" name="KSOTemplateDocerSaveRecord">
    <vt:lpwstr>eyJoZGlkIjoiODEzZWYxOTM2NTQ1NzA4Y2YxMTQ3ZDkwMjQ1MGU2M2YiLCJ1c2VySWQiOiIxNzY5NTQzMDEyIn0=</vt:lpwstr>
  </property>
  <property fmtid="{D5CDD505-2E9C-101B-9397-08002B2CF9AE}" pid="4" name="ICV">
    <vt:lpwstr>3D3CB2533E754F89939DB4DACC346AB3_12</vt:lpwstr>
  </property>
</Properties>
</file>